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919AD" w14:textId="6DD9D4BF" w:rsidR="00192A6D" w:rsidRDefault="00192A6D" w:rsidP="005B7ADF">
      <w:pPr>
        <w:shd w:val="clear" w:color="auto" w:fill="FFFFFF"/>
        <w:jc w:val="center"/>
        <w:rPr>
          <w:rFonts w:ascii="Arial Rounded MT Bold" w:hAnsi="Arial Rounded MT Bold" w:cs="Times New Roman"/>
          <w:b/>
          <w:bCs/>
          <w:color w:val="1F4E79"/>
          <w:sz w:val="36"/>
          <w:szCs w:val="36"/>
        </w:rPr>
      </w:pPr>
      <w:r>
        <w:rPr>
          <w:rFonts w:ascii="Calibri" w:hAnsi="Calibri" w:cs="Times New Roman"/>
          <w:noProof/>
          <w:color w:val="212121"/>
          <w:sz w:val="22"/>
          <w:szCs w:val="22"/>
        </w:rPr>
        <w:drawing>
          <wp:anchor distT="0" distB="0" distL="114300" distR="114300" simplePos="0" relativeHeight="251659776" behindDoc="0" locked="0" layoutInCell="1" allowOverlap="1" wp14:anchorId="5155F74C" wp14:editId="7818B461">
            <wp:simplePos x="0" y="0"/>
            <wp:positionH relativeFrom="column">
              <wp:posOffset>2952750</wp:posOffset>
            </wp:positionH>
            <wp:positionV relativeFrom="paragraph">
              <wp:posOffset>-283210</wp:posOffset>
            </wp:positionV>
            <wp:extent cx="946150" cy="798845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AA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798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C91BB6" w14:textId="0816CD97" w:rsidR="00192A6D" w:rsidRDefault="00192A6D" w:rsidP="005B7ADF">
      <w:pPr>
        <w:shd w:val="clear" w:color="auto" w:fill="FFFFFF"/>
        <w:jc w:val="center"/>
        <w:rPr>
          <w:rFonts w:ascii="Arial Rounded MT Bold" w:hAnsi="Arial Rounded MT Bold" w:cs="Times New Roman"/>
          <w:b/>
          <w:bCs/>
          <w:color w:val="1F4E79"/>
          <w:sz w:val="36"/>
          <w:szCs w:val="36"/>
        </w:rPr>
      </w:pPr>
    </w:p>
    <w:p w14:paraId="32A43B73" w14:textId="1FE5D489" w:rsidR="008C00A9" w:rsidRPr="005B7ADF" w:rsidRDefault="008C00A9" w:rsidP="005B7ADF">
      <w:pPr>
        <w:shd w:val="clear" w:color="auto" w:fill="FFFFFF"/>
        <w:jc w:val="center"/>
        <w:rPr>
          <w:rFonts w:ascii="Calibri" w:hAnsi="Calibri" w:cs="Times New Roman"/>
          <w:color w:val="212121"/>
          <w:sz w:val="22"/>
          <w:szCs w:val="22"/>
        </w:rPr>
      </w:pPr>
      <w:r w:rsidRPr="005B7ADF">
        <w:rPr>
          <w:rFonts w:ascii="Arial Rounded MT Bold" w:hAnsi="Arial Rounded MT Bold" w:cs="Times New Roman"/>
          <w:b/>
          <w:bCs/>
          <w:color w:val="1F4E79"/>
          <w:sz w:val="36"/>
          <w:szCs w:val="36"/>
        </w:rPr>
        <w:t>Florida Anesthesia Administrators’ Association</w:t>
      </w:r>
    </w:p>
    <w:p w14:paraId="618976AE" w14:textId="1F2D6694" w:rsidR="008C00A9" w:rsidRPr="005B7ADF" w:rsidRDefault="0092384F" w:rsidP="008C00A9">
      <w:pPr>
        <w:shd w:val="clear" w:color="auto" w:fill="FFFFFF"/>
        <w:jc w:val="center"/>
        <w:rPr>
          <w:rFonts w:ascii="Calibri" w:hAnsi="Calibri" w:cs="Times New Roman"/>
          <w:color w:val="212121"/>
          <w:sz w:val="40"/>
          <w:szCs w:val="40"/>
        </w:rPr>
      </w:pPr>
      <w:r>
        <w:rPr>
          <w:rFonts w:ascii="Arial Rounded MT Bold" w:hAnsi="Arial Rounded MT Bold" w:cs="Times New Roman"/>
          <w:b/>
          <w:bCs/>
          <w:color w:val="1F4E79"/>
          <w:sz w:val="36"/>
          <w:szCs w:val="36"/>
        </w:rPr>
        <w:t>2022</w:t>
      </w:r>
      <w:r w:rsidR="008C00A9" w:rsidRPr="005B7ADF">
        <w:rPr>
          <w:rFonts w:ascii="Arial Rounded MT Bold" w:hAnsi="Arial Rounded MT Bold" w:cs="Times New Roman"/>
          <w:b/>
          <w:bCs/>
          <w:color w:val="1F4E79"/>
          <w:sz w:val="36"/>
          <w:szCs w:val="36"/>
        </w:rPr>
        <w:t xml:space="preserve"> Summer Meeting</w:t>
      </w:r>
    </w:p>
    <w:p w14:paraId="719ACB1F" w14:textId="7A339FC7" w:rsidR="008C00A9" w:rsidRPr="008C00A9" w:rsidRDefault="008C00A9" w:rsidP="008C00A9">
      <w:pPr>
        <w:shd w:val="clear" w:color="auto" w:fill="FFFFFF"/>
        <w:jc w:val="center"/>
        <w:rPr>
          <w:rFonts w:ascii="Calibri" w:hAnsi="Calibri" w:cs="Times New Roman"/>
          <w:color w:val="212121"/>
          <w:sz w:val="22"/>
          <w:szCs w:val="22"/>
        </w:rPr>
      </w:pPr>
      <w:r w:rsidRPr="008C00A9">
        <w:rPr>
          <w:rFonts w:ascii="Calibri" w:hAnsi="Calibri" w:cs="Times New Roman"/>
          <w:color w:val="212121"/>
        </w:rPr>
        <w:t> </w:t>
      </w:r>
    </w:p>
    <w:p w14:paraId="5A6F6344" w14:textId="792F9BB2" w:rsidR="008C00A9" w:rsidRPr="008D3567" w:rsidRDefault="0092384F" w:rsidP="008C00A9">
      <w:pPr>
        <w:shd w:val="clear" w:color="auto" w:fill="FFFFFF"/>
        <w:jc w:val="center"/>
        <w:rPr>
          <w:rFonts w:ascii="Britannic Bold" w:hAnsi="Britannic Bold" w:cs="Times New Roman"/>
          <w:color w:val="212121"/>
          <w:sz w:val="44"/>
          <w:szCs w:val="44"/>
        </w:rPr>
      </w:pPr>
      <w:r w:rsidRPr="008D3567">
        <w:rPr>
          <w:rFonts w:ascii="Britannic Bold" w:hAnsi="Britannic Bold" w:cs="Times New Roman"/>
          <w:b/>
          <w:bCs/>
          <w:color w:val="C00000"/>
          <w:sz w:val="44"/>
          <w:szCs w:val="44"/>
        </w:rPr>
        <w:t>Friday, June 10</w:t>
      </w:r>
      <w:r w:rsidR="008C00A9" w:rsidRPr="008D3567">
        <w:rPr>
          <w:rFonts w:ascii="Britannic Bold" w:hAnsi="Britannic Bold" w:cs="Times New Roman"/>
          <w:b/>
          <w:bCs/>
          <w:color w:val="C00000"/>
          <w:sz w:val="44"/>
          <w:szCs w:val="44"/>
          <w:vertAlign w:val="superscript"/>
        </w:rPr>
        <w:t>th</w:t>
      </w:r>
      <w:r w:rsidRPr="008D3567">
        <w:rPr>
          <w:rFonts w:ascii="Britannic Bold" w:hAnsi="Britannic Bold" w:cs="Times New Roman"/>
          <w:b/>
          <w:bCs/>
          <w:color w:val="C00000"/>
          <w:sz w:val="44"/>
          <w:szCs w:val="44"/>
        </w:rPr>
        <w:t>, 2022</w:t>
      </w:r>
    </w:p>
    <w:p w14:paraId="7E3FFD0B" w14:textId="40DFB6F7" w:rsidR="008C00A9" w:rsidRPr="008D3567" w:rsidRDefault="008C00A9" w:rsidP="008C00A9">
      <w:pPr>
        <w:shd w:val="clear" w:color="auto" w:fill="FFFFFF"/>
        <w:jc w:val="center"/>
        <w:rPr>
          <w:rFonts w:ascii="Calibri" w:hAnsi="Calibri" w:cs="Times New Roman"/>
          <w:color w:val="212121"/>
          <w:sz w:val="44"/>
          <w:szCs w:val="44"/>
        </w:rPr>
      </w:pPr>
      <w:r w:rsidRPr="008D3567">
        <w:rPr>
          <w:rFonts w:ascii="Britannic Bold" w:hAnsi="Britannic Bold" w:cs="Times New Roman"/>
          <w:b/>
          <w:bCs/>
          <w:color w:val="C00000"/>
          <w:sz w:val="44"/>
          <w:szCs w:val="44"/>
        </w:rPr>
        <w:t>7 a.m. to 5 p.m.</w:t>
      </w:r>
    </w:p>
    <w:p w14:paraId="77DB8AED" w14:textId="63001DE5" w:rsidR="008C00A9" w:rsidRPr="008C00A9" w:rsidRDefault="008C00A9" w:rsidP="008C00A9">
      <w:pPr>
        <w:shd w:val="clear" w:color="auto" w:fill="FFFFFF"/>
        <w:jc w:val="center"/>
        <w:rPr>
          <w:rFonts w:ascii="Calibri" w:hAnsi="Calibri" w:cs="Times New Roman"/>
          <w:color w:val="212121"/>
          <w:sz w:val="22"/>
          <w:szCs w:val="22"/>
        </w:rPr>
      </w:pPr>
    </w:p>
    <w:p w14:paraId="3C6D90B9" w14:textId="6C508CB1" w:rsidR="008C00A9" w:rsidRPr="008D3567" w:rsidRDefault="008C00A9" w:rsidP="008C00A9">
      <w:pPr>
        <w:shd w:val="clear" w:color="auto" w:fill="FFFFFF"/>
        <w:jc w:val="center"/>
        <w:rPr>
          <w:rFonts w:ascii="Calibri" w:hAnsi="Calibri" w:cs="Times New Roman"/>
          <w:color w:val="212121"/>
          <w:sz w:val="28"/>
          <w:szCs w:val="28"/>
        </w:rPr>
      </w:pPr>
      <w:r w:rsidRPr="008D3567">
        <w:rPr>
          <w:rFonts w:ascii="Constantia" w:hAnsi="Constantia" w:cs="Times New Roman"/>
          <w:color w:val="1F4E79"/>
          <w:sz w:val="28"/>
          <w:szCs w:val="28"/>
        </w:rPr>
        <w:t>THE BREAKERS HOTEL</w:t>
      </w:r>
    </w:p>
    <w:p w14:paraId="5255CEF7" w14:textId="77777777" w:rsidR="008C00A9" w:rsidRPr="008D3567" w:rsidRDefault="008C00A9" w:rsidP="008C00A9">
      <w:pPr>
        <w:shd w:val="clear" w:color="auto" w:fill="FFFFFF"/>
        <w:jc w:val="center"/>
        <w:rPr>
          <w:rFonts w:ascii="Calibri" w:hAnsi="Calibri" w:cs="Times New Roman"/>
          <w:color w:val="212121"/>
          <w:sz w:val="28"/>
          <w:szCs w:val="28"/>
        </w:rPr>
      </w:pPr>
      <w:r w:rsidRPr="008D3567">
        <w:rPr>
          <w:rFonts w:ascii="Constantia" w:hAnsi="Constantia" w:cs="Times New Roman"/>
          <w:color w:val="1F4E79"/>
          <w:sz w:val="28"/>
          <w:szCs w:val="28"/>
        </w:rPr>
        <w:t>1 S, County Road, Palm Beach, Florida</w:t>
      </w:r>
    </w:p>
    <w:p w14:paraId="40F1B7B1" w14:textId="3A14ECEF" w:rsidR="008C00A9" w:rsidRPr="008C00A9" w:rsidRDefault="008C00A9" w:rsidP="008C00A9">
      <w:pPr>
        <w:shd w:val="clear" w:color="auto" w:fill="FFFFFF"/>
        <w:jc w:val="center"/>
        <w:rPr>
          <w:rFonts w:ascii="Calibri" w:hAnsi="Calibri" w:cs="Times New Roman"/>
          <w:color w:val="212121"/>
          <w:sz w:val="22"/>
          <w:szCs w:val="22"/>
        </w:rPr>
      </w:pPr>
    </w:p>
    <w:p w14:paraId="1420D29A" w14:textId="77777777" w:rsidR="008C00A9" w:rsidRPr="005B7ADF" w:rsidRDefault="008C00A9" w:rsidP="008C00A9">
      <w:pPr>
        <w:shd w:val="clear" w:color="auto" w:fill="FFFFFF"/>
        <w:jc w:val="center"/>
        <w:rPr>
          <w:rFonts w:ascii="Calibri" w:hAnsi="Calibri" w:cs="Times New Roman"/>
          <w:color w:val="212121"/>
          <w:sz w:val="36"/>
          <w:szCs w:val="36"/>
        </w:rPr>
      </w:pPr>
      <w:r w:rsidRPr="005B7ADF">
        <w:rPr>
          <w:rFonts w:ascii="Constantia" w:hAnsi="Constantia" w:cs="Times New Roman"/>
          <w:b/>
          <w:bCs/>
          <w:color w:val="1F4E79"/>
          <w:sz w:val="36"/>
          <w:szCs w:val="36"/>
          <w:u w:val="single"/>
        </w:rPr>
        <w:t>SPEAKERS include</w:t>
      </w:r>
    </w:p>
    <w:p w14:paraId="4A3C147E" w14:textId="54018D37" w:rsidR="008C00A9" w:rsidRPr="008C00A9" w:rsidRDefault="008C00A9" w:rsidP="008C00A9">
      <w:pPr>
        <w:shd w:val="clear" w:color="auto" w:fill="FFFFFF"/>
        <w:jc w:val="center"/>
        <w:rPr>
          <w:rFonts w:ascii="Calibri" w:hAnsi="Calibri" w:cs="Times New Roman"/>
          <w:color w:val="212121"/>
          <w:sz w:val="22"/>
          <w:szCs w:val="22"/>
        </w:rPr>
      </w:pPr>
    </w:p>
    <w:p w14:paraId="7DEB089A" w14:textId="40E0F361" w:rsidR="008C00A9" w:rsidRPr="00680913" w:rsidRDefault="008D3567" w:rsidP="008C00A9">
      <w:pPr>
        <w:shd w:val="clear" w:color="auto" w:fill="FFFFFF"/>
        <w:jc w:val="center"/>
        <w:rPr>
          <w:rFonts w:ascii="Calibri" w:hAnsi="Calibri" w:cs="Times New Roman"/>
          <w:color w:val="212121"/>
          <w:sz w:val="40"/>
          <w:szCs w:val="40"/>
        </w:rPr>
      </w:pPr>
      <w:r w:rsidRPr="00680913">
        <w:rPr>
          <w:rFonts w:ascii="Constantia" w:hAnsi="Constantia" w:cs="Times New Roman"/>
          <w:b/>
          <w:bCs/>
          <w:i/>
          <w:iCs/>
          <w:color w:val="212121"/>
          <w:sz w:val="40"/>
          <w:szCs w:val="40"/>
        </w:rPr>
        <w:t>Fraud &amp; Abuse Enforcement</w:t>
      </w:r>
    </w:p>
    <w:p w14:paraId="3CB5EC30" w14:textId="77777777" w:rsidR="008C00A9" w:rsidRPr="00680913" w:rsidRDefault="008C00A9" w:rsidP="008C00A9">
      <w:pPr>
        <w:shd w:val="clear" w:color="auto" w:fill="FFFFFF"/>
        <w:jc w:val="center"/>
        <w:rPr>
          <w:rFonts w:ascii="Calibri" w:hAnsi="Calibri" w:cs="Times New Roman"/>
          <w:color w:val="212121"/>
        </w:rPr>
      </w:pPr>
      <w:r w:rsidRPr="00680913">
        <w:rPr>
          <w:rFonts w:ascii="Constantia" w:hAnsi="Constantia" w:cs="Times New Roman"/>
          <w:b/>
          <w:bCs/>
          <w:color w:val="212121"/>
        </w:rPr>
        <w:t xml:space="preserve">Scott R. </w:t>
      </w:r>
      <w:proofErr w:type="spellStart"/>
      <w:r w:rsidRPr="00680913">
        <w:rPr>
          <w:rFonts w:ascii="Constantia" w:hAnsi="Constantia" w:cs="Times New Roman"/>
          <w:b/>
          <w:bCs/>
          <w:color w:val="212121"/>
        </w:rPr>
        <w:t>Grubman</w:t>
      </w:r>
      <w:proofErr w:type="spellEnd"/>
    </w:p>
    <w:p w14:paraId="79A939BD" w14:textId="5396D996" w:rsidR="008C00A9" w:rsidRDefault="008C00A9" w:rsidP="00192A6D">
      <w:pPr>
        <w:shd w:val="clear" w:color="auto" w:fill="FFFFFF"/>
        <w:jc w:val="center"/>
        <w:rPr>
          <w:rFonts w:ascii="Constantia" w:hAnsi="Constantia" w:cs="Times New Roman"/>
          <w:color w:val="1F4E79"/>
        </w:rPr>
      </w:pPr>
      <w:r w:rsidRPr="005B7ADF">
        <w:rPr>
          <w:rFonts w:ascii="Constantia" w:hAnsi="Constantia" w:cs="Times New Roman"/>
          <w:color w:val="1F4E79"/>
        </w:rPr>
        <w:t>Partner</w:t>
      </w:r>
      <w:r w:rsidR="00192A6D">
        <w:rPr>
          <w:rFonts w:ascii="Constantia" w:hAnsi="Constantia" w:cs="Times New Roman"/>
          <w:color w:val="1F4E79"/>
        </w:rPr>
        <w:t xml:space="preserve">: </w:t>
      </w:r>
      <w:proofErr w:type="spellStart"/>
      <w:r w:rsidRPr="005B7ADF">
        <w:rPr>
          <w:rFonts w:ascii="Constantia" w:hAnsi="Constantia" w:cs="Times New Roman"/>
          <w:color w:val="1F4E79"/>
        </w:rPr>
        <w:t>Chilivis</w:t>
      </w:r>
      <w:proofErr w:type="spellEnd"/>
      <w:r w:rsidRPr="005B7ADF">
        <w:rPr>
          <w:rFonts w:ascii="Constantia" w:hAnsi="Constantia" w:cs="Times New Roman"/>
          <w:color w:val="1F4E79"/>
        </w:rPr>
        <w:t>, Cochran, Larkins &amp; Bever LLP</w:t>
      </w:r>
    </w:p>
    <w:p w14:paraId="5D2641D5" w14:textId="1FB86943" w:rsidR="008D3567" w:rsidRDefault="008D3567" w:rsidP="00192A6D">
      <w:pPr>
        <w:shd w:val="clear" w:color="auto" w:fill="FFFFFF"/>
        <w:jc w:val="center"/>
        <w:rPr>
          <w:rFonts w:ascii="Constantia" w:hAnsi="Constantia" w:cs="Times New Roman"/>
          <w:color w:val="1F4E79"/>
        </w:rPr>
      </w:pPr>
    </w:p>
    <w:p w14:paraId="3BBFE491" w14:textId="159DCEF8" w:rsidR="008D3567" w:rsidRPr="00680913" w:rsidRDefault="008D3567" w:rsidP="008D3567">
      <w:pPr>
        <w:shd w:val="clear" w:color="auto" w:fill="FFFFFF"/>
        <w:jc w:val="center"/>
        <w:rPr>
          <w:rFonts w:ascii="Calibri" w:hAnsi="Calibri" w:cs="Times New Roman"/>
          <w:color w:val="212121"/>
          <w:sz w:val="40"/>
          <w:szCs w:val="40"/>
        </w:rPr>
      </w:pPr>
      <w:r w:rsidRPr="00680913">
        <w:rPr>
          <w:rFonts w:ascii="Constantia" w:hAnsi="Constantia" w:cs="Times New Roman"/>
          <w:b/>
          <w:bCs/>
          <w:i/>
          <w:iCs/>
          <w:color w:val="212121"/>
          <w:sz w:val="40"/>
          <w:szCs w:val="40"/>
        </w:rPr>
        <w:t>Beyond Medical Direction</w:t>
      </w:r>
    </w:p>
    <w:p w14:paraId="4BB059C1" w14:textId="2A218427" w:rsidR="008D3567" w:rsidRPr="00680913" w:rsidRDefault="008D3567" w:rsidP="008D3567">
      <w:pPr>
        <w:shd w:val="clear" w:color="auto" w:fill="FFFFFF"/>
        <w:jc w:val="center"/>
        <w:rPr>
          <w:rFonts w:ascii="Calibri" w:hAnsi="Calibri" w:cs="Times New Roman"/>
          <w:color w:val="212121"/>
        </w:rPr>
      </w:pPr>
      <w:r w:rsidRPr="00680913">
        <w:rPr>
          <w:rFonts w:ascii="Constantia" w:hAnsi="Constantia" w:cs="Times New Roman"/>
          <w:b/>
          <w:bCs/>
          <w:color w:val="212121"/>
        </w:rPr>
        <w:t>Kelly D. Dennis, MBA</w:t>
      </w:r>
      <w:r w:rsidR="00A533DB" w:rsidRPr="00680913">
        <w:rPr>
          <w:rFonts w:ascii="Constantia" w:hAnsi="Constantia" w:cs="Times New Roman"/>
          <w:b/>
          <w:bCs/>
          <w:color w:val="212121"/>
        </w:rPr>
        <w:t>, ACS-AN, CANPC, CHCA, CPMA, CPC, CPC-I</w:t>
      </w:r>
    </w:p>
    <w:p w14:paraId="47702691" w14:textId="4FDAD2EB" w:rsidR="008D3567" w:rsidRPr="00192A6D" w:rsidRDefault="008D3567" w:rsidP="008D3567">
      <w:pPr>
        <w:shd w:val="clear" w:color="auto" w:fill="FFFFFF"/>
        <w:jc w:val="center"/>
        <w:rPr>
          <w:rFonts w:ascii="Constantia" w:hAnsi="Constantia" w:cs="Times New Roman"/>
          <w:color w:val="1F4E79"/>
        </w:rPr>
      </w:pPr>
      <w:r>
        <w:rPr>
          <w:rFonts w:ascii="Constantia" w:hAnsi="Constantia" w:cs="Times New Roman"/>
          <w:color w:val="1F4E79"/>
        </w:rPr>
        <w:t>President, Perfect Office Solutions, Inc.</w:t>
      </w:r>
    </w:p>
    <w:p w14:paraId="6C18F0EF" w14:textId="4C784F04" w:rsidR="008C00A9" w:rsidRPr="008C00A9" w:rsidRDefault="008C00A9" w:rsidP="005B7ADF">
      <w:pPr>
        <w:shd w:val="clear" w:color="auto" w:fill="FFFFFF"/>
        <w:rPr>
          <w:rFonts w:ascii="Calibri" w:hAnsi="Calibri" w:cs="Times New Roman"/>
          <w:color w:val="212121"/>
          <w:sz w:val="22"/>
          <w:szCs w:val="22"/>
        </w:rPr>
      </w:pPr>
    </w:p>
    <w:p w14:paraId="13DFE29C" w14:textId="1F4C68B8" w:rsidR="008C00A9" w:rsidRPr="00680913" w:rsidRDefault="008D3567" w:rsidP="008C00A9">
      <w:pPr>
        <w:shd w:val="clear" w:color="auto" w:fill="FFFFFF"/>
        <w:jc w:val="center"/>
        <w:rPr>
          <w:rFonts w:ascii="Calibri" w:hAnsi="Calibri" w:cs="Times New Roman"/>
          <w:color w:val="212121"/>
          <w:sz w:val="40"/>
          <w:szCs w:val="40"/>
        </w:rPr>
      </w:pPr>
      <w:r w:rsidRPr="00680913">
        <w:rPr>
          <w:rFonts w:ascii="Constantia" w:hAnsi="Constantia" w:cs="Times New Roman"/>
          <w:b/>
          <w:bCs/>
          <w:i/>
          <w:iCs/>
          <w:color w:val="212121"/>
          <w:sz w:val="40"/>
          <w:szCs w:val="40"/>
        </w:rPr>
        <w:t>No Surprise Billing</w:t>
      </w:r>
      <w:r w:rsidR="00680913">
        <w:rPr>
          <w:rFonts w:ascii="Constantia" w:hAnsi="Constantia" w:cs="Times New Roman"/>
          <w:b/>
          <w:bCs/>
          <w:i/>
          <w:iCs/>
          <w:color w:val="212121"/>
          <w:sz w:val="40"/>
          <w:szCs w:val="40"/>
        </w:rPr>
        <w:t xml:space="preserve"> &amp; Good Faith Estimate</w:t>
      </w:r>
    </w:p>
    <w:p w14:paraId="0F052FCD" w14:textId="7FDF3025" w:rsidR="008C00A9" w:rsidRPr="00680913" w:rsidRDefault="008D3567" w:rsidP="008C00A9">
      <w:pPr>
        <w:shd w:val="clear" w:color="auto" w:fill="FFFFFF"/>
        <w:jc w:val="center"/>
        <w:rPr>
          <w:rFonts w:ascii="Calibri" w:hAnsi="Calibri" w:cs="Times New Roman"/>
          <w:color w:val="212121"/>
        </w:rPr>
      </w:pPr>
      <w:r w:rsidRPr="00680913">
        <w:rPr>
          <w:rFonts w:ascii="Constantia" w:hAnsi="Constantia" w:cs="Times New Roman"/>
          <w:b/>
          <w:bCs/>
          <w:color w:val="212121"/>
        </w:rPr>
        <w:t>Jody Locke, CPC, MA</w:t>
      </w:r>
    </w:p>
    <w:p w14:paraId="1A5EF04F" w14:textId="7D9A872F" w:rsidR="008C00A9" w:rsidRPr="00A533DB" w:rsidRDefault="008D3567" w:rsidP="00A533DB">
      <w:pPr>
        <w:shd w:val="clear" w:color="auto" w:fill="FFFFFF"/>
        <w:jc w:val="center"/>
        <w:rPr>
          <w:rFonts w:ascii="Constantia" w:hAnsi="Constantia" w:cs="Times New Roman"/>
          <w:color w:val="1F4E79"/>
        </w:rPr>
      </w:pPr>
      <w:r>
        <w:rPr>
          <w:rFonts w:ascii="Constantia" w:hAnsi="Constantia" w:cs="Times New Roman"/>
          <w:color w:val="1F4E79"/>
        </w:rPr>
        <w:t>Vice President, Anesthe</w:t>
      </w:r>
      <w:r w:rsidR="00A533DB">
        <w:rPr>
          <w:rFonts w:ascii="Constantia" w:hAnsi="Constantia" w:cs="Times New Roman"/>
          <w:color w:val="1F4E79"/>
        </w:rPr>
        <w:t xml:space="preserve">sia &amp; Pain Management Services, </w:t>
      </w:r>
      <w:r>
        <w:rPr>
          <w:rFonts w:ascii="Constantia" w:hAnsi="Constantia" w:cs="Times New Roman"/>
          <w:color w:val="1F4E79"/>
        </w:rPr>
        <w:t>Anesthesia Business Consultants</w:t>
      </w:r>
    </w:p>
    <w:p w14:paraId="4735B6CE" w14:textId="77777777" w:rsidR="008C00A9" w:rsidRPr="008C00A9" w:rsidRDefault="008C00A9" w:rsidP="008C00A9">
      <w:pPr>
        <w:shd w:val="clear" w:color="auto" w:fill="FFFFFF"/>
        <w:jc w:val="center"/>
        <w:rPr>
          <w:rFonts w:ascii="Calibri" w:hAnsi="Calibri" w:cs="Times New Roman"/>
          <w:color w:val="212121"/>
          <w:sz w:val="22"/>
          <w:szCs w:val="22"/>
        </w:rPr>
      </w:pPr>
      <w:r w:rsidRPr="008C00A9">
        <w:rPr>
          <w:rFonts w:ascii="Calibri" w:hAnsi="Calibri" w:cs="Times New Roman"/>
          <w:color w:val="1F497D"/>
        </w:rPr>
        <w:t> </w:t>
      </w:r>
    </w:p>
    <w:p w14:paraId="72B2C7D6" w14:textId="00775B12" w:rsidR="008C00A9" w:rsidRPr="00680913" w:rsidRDefault="008D3567" w:rsidP="008C00A9">
      <w:pPr>
        <w:shd w:val="clear" w:color="auto" w:fill="FFFFFF"/>
        <w:jc w:val="center"/>
        <w:rPr>
          <w:rFonts w:ascii="Calibri" w:hAnsi="Calibri" w:cs="Times New Roman"/>
          <w:color w:val="212121"/>
          <w:sz w:val="40"/>
          <w:szCs w:val="40"/>
        </w:rPr>
      </w:pPr>
      <w:r w:rsidRPr="00680913">
        <w:rPr>
          <w:rFonts w:ascii="Constantia" w:hAnsi="Constantia" w:cs="Times New Roman"/>
          <w:b/>
          <w:bCs/>
          <w:i/>
          <w:iCs/>
          <w:color w:val="212121"/>
          <w:sz w:val="40"/>
          <w:szCs w:val="40"/>
        </w:rPr>
        <w:t>Our Hospital Just Issued an RFP: Navigating the RFP Process &amp; Strategies to Compete</w:t>
      </w:r>
    </w:p>
    <w:p w14:paraId="2E59ED5B" w14:textId="6282526F" w:rsidR="008C00A9" w:rsidRPr="00680913" w:rsidRDefault="008D3567" w:rsidP="00A533DB">
      <w:pPr>
        <w:shd w:val="clear" w:color="auto" w:fill="FFFFFF"/>
        <w:jc w:val="center"/>
        <w:rPr>
          <w:rFonts w:ascii="Calibri" w:hAnsi="Calibri" w:cs="Times New Roman"/>
          <w:color w:val="212121"/>
        </w:rPr>
      </w:pPr>
      <w:r w:rsidRPr="00680913">
        <w:rPr>
          <w:rFonts w:ascii="Constantia" w:hAnsi="Constantia" w:cs="Times New Roman"/>
          <w:b/>
          <w:bCs/>
          <w:color w:val="212121"/>
        </w:rPr>
        <w:t>Judith Jurin Semo, JD</w:t>
      </w:r>
    </w:p>
    <w:p w14:paraId="4AF38CD5" w14:textId="02406353" w:rsidR="008C00A9" w:rsidRPr="005B7ADF" w:rsidRDefault="00A533DB" w:rsidP="008C00A9">
      <w:pPr>
        <w:shd w:val="clear" w:color="auto" w:fill="FFFFFF"/>
        <w:jc w:val="center"/>
        <w:rPr>
          <w:rFonts w:ascii="Calibri" w:hAnsi="Calibri" w:cs="Times New Roman"/>
          <w:color w:val="212121"/>
        </w:rPr>
      </w:pPr>
      <w:r>
        <w:rPr>
          <w:rFonts w:ascii="Constantia" w:hAnsi="Constantia" w:cs="Times New Roman"/>
          <w:color w:val="1F4E79"/>
        </w:rPr>
        <w:t>Partner: Semo Law Group</w:t>
      </w:r>
    </w:p>
    <w:p w14:paraId="7C6E99DF" w14:textId="77777777" w:rsidR="008C00A9" w:rsidRPr="005B7ADF" w:rsidRDefault="008C00A9" w:rsidP="008C00A9">
      <w:pPr>
        <w:shd w:val="clear" w:color="auto" w:fill="FFFFFF"/>
        <w:jc w:val="center"/>
        <w:rPr>
          <w:rFonts w:ascii="Calibri" w:hAnsi="Calibri" w:cs="Times New Roman"/>
          <w:color w:val="212121"/>
        </w:rPr>
      </w:pPr>
      <w:r w:rsidRPr="005B7ADF">
        <w:rPr>
          <w:rFonts w:ascii="Constantia" w:hAnsi="Constantia" w:cs="Times New Roman"/>
          <w:b/>
          <w:bCs/>
          <w:color w:val="1F497D"/>
        </w:rPr>
        <w:t> </w:t>
      </w:r>
    </w:p>
    <w:p w14:paraId="3A11FFB1" w14:textId="77777777" w:rsidR="008C00A9" w:rsidRPr="00680913" w:rsidRDefault="008C00A9" w:rsidP="008C00A9">
      <w:pPr>
        <w:shd w:val="clear" w:color="auto" w:fill="FFFFFF"/>
        <w:jc w:val="center"/>
        <w:rPr>
          <w:rFonts w:ascii="Calibri" w:hAnsi="Calibri" w:cs="Times New Roman"/>
          <w:color w:val="212121"/>
          <w:sz w:val="40"/>
          <w:szCs w:val="40"/>
        </w:rPr>
      </w:pPr>
      <w:r w:rsidRPr="00680913">
        <w:rPr>
          <w:rFonts w:ascii="Constantia" w:hAnsi="Constantia" w:cs="Times New Roman"/>
          <w:b/>
          <w:bCs/>
          <w:i/>
          <w:iCs/>
          <w:color w:val="212121"/>
          <w:sz w:val="40"/>
          <w:szCs w:val="40"/>
        </w:rPr>
        <w:t>Creative Staffing, Recruitment and Retention</w:t>
      </w:r>
    </w:p>
    <w:p w14:paraId="5F8AF08E" w14:textId="66145753" w:rsidR="008C00A9" w:rsidRPr="00680913" w:rsidRDefault="008D3567" w:rsidP="008C00A9">
      <w:pPr>
        <w:shd w:val="clear" w:color="auto" w:fill="FFFFFF"/>
        <w:jc w:val="center"/>
        <w:rPr>
          <w:rFonts w:ascii="Calibri" w:hAnsi="Calibri" w:cs="Times New Roman"/>
          <w:color w:val="212121"/>
        </w:rPr>
      </w:pPr>
      <w:r w:rsidRPr="00680913">
        <w:rPr>
          <w:rFonts w:ascii="Constantia" w:hAnsi="Constantia" w:cs="Times New Roman"/>
          <w:b/>
          <w:bCs/>
          <w:color w:val="212121"/>
        </w:rPr>
        <w:t>Maria Macris &amp; Michele Cadieux</w:t>
      </w:r>
    </w:p>
    <w:p w14:paraId="602E5885" w14:textId="5D28E0B5" w:rsidR="002A5992" w:rsidRDefault="00A533DB" w:rsidP="008C00A9">
      <w:pPr>
        <w:shd w:val="clear" w:color="auto" w:fill="FFFFFF"/>
        <w:jc w:val="center"/>
        <w:rPr>
          <w:rFonts w:ascii="Constantia" w:hAnsi="Constantia" w:cs="Times New Roman"/>
          <w:color w:val="1F4E79"/>
        </w:rPr>
      </w:pPr>
      <w:r>
        <w:rPr>
          <w:rFonts w:ascii="Constantia" w:hAnsi="Constantia" w:cs="Times New Roman"/>
          <w:color w:val="1F4E79"/>
        </w:rPr>
        <w:t>Senior Anesthesia Recruiters</w:t>
      </w:r>
    </w:p>
    <w:p w14:paraId="5EC0B2B3" w14:textId="2499BD3B" w:rsidR="00A533DB" w:rsidRPr="005B7ADF" w:rsidRDefault="00A533DB" w:rsidP="008C00A9">
      <w:pPr>
        <w:shd w:val="clear" w:color="auto" w:fill="FFFFFF"/>
        <w:jc w:val="center"/>
        <w:rPr>
          <w:rFonts w:ascii="Calibri" w:hAnsi="Calibri" w:cs="Times New Roman"/>
          <w:color w:val="212121"/>
        </w:rPr>
      </w:pPr>
      <w:r>
        <w:rPr>
          <w:rFonts w:ascii="Constantia" w:hAnsi="Constantia" w:cs="Times New Roman"/>
          <w:color w:val="1F4E79"/>
        </w:rPr>
        <w:t>Envision Healthcare &amp; HCA Anesthesia</w:t>
      </w:r>
    </w:p>
    <w:p w14:paraId="79C79772" w14:textId="694030F2" w:rsidR="008C00A9" w:rsidRPr="008C00A9" w:rsidRDefault="008C00A9" w:rsidP="005B7ADF">
      <w:pPr>
        <w:shd w:val="clear" w:color="auto" w:fill="FFFFFF"/>
        <w:jc w:val="center"/>
        <w:rPr>
          <w:rFonts w:ascii="Calibri" w:hAnsi="Calibri" w:cs="Times New Roman"/>
          <w:color w:val="212121"/>
          <w:sz w:val="22"/>
          <w:szCs w:val="22"/>
        </w:rPr>
      </w:pPr>
      <w:r w:rsidRPr="008C00A9">
        <w:rPr>
          <w:rFonts w:ascii="Calibri" w:hAnsi="Calibri" w:cs="Times New Roman"/>
          <w:color w:val="1F497D"/>
        </w:rPr>
        <w:t>  </w:t>
      </w:r>
    </w:p>
    <w:p w14:paraId="7909E66C" w14:textId="3BF85B5E" w:rsidR="008C00A9" w:rsidRPr="00680913" w:rsidRDefault="008C00A9" w:rsidP="008C00A9">
      <w:pPr>
        <w:shd w:val="clear" w:color="auto" w:fill="FFFFFF"/>
        <w:jc w:val="center"/>
        <w:rPr>
          <w:rFonts w:ascii="Constantia" w:hAnsi="Constantia" w:cs="Times New Roman"/>
          <w:b/>
          <w:bCs/>
          <w:i/>
          <w:iCs/>
          <w:color w:val="212121"/>
          <w:sz w:val="40"/>
          <w:szCs w:val="40"/>
        </w:rPr>
      </w:pPr>
      <w:r w:rsidRPr="00680913">
        <w:rPr>
          <w:rFonts w:ascii="Constantia" w:hAnsi="Constantia" w:cs="Times New Roman"/>
          <w:b/>
          <w:bCs/>
          <w:i/>
          <w:iCs/>
          <w:color w:val="212121"/>
          <w:sz w:val="40"/>
          <w:szCs w:val="40"/>
        </w:rPr>
        <w:t>202</w:t>
      </w:r>
      <w:r w:rsidR="008D3567" w:rsidRPr="00680913">
        <w:rPr>
          <w:rFonts w:ascii="Constantia" w:hAnsi="Constantia" w:cs="Times New Roman"/>
          <w:b/>
          <w:bCs/>
          <w:i/>
          <w:iCs/>
          <w:color w:val="212121"/>
          <w:sz w:val="40"/>
          <w:szCs w:val="40"/>
        </w:rPr>
        <w:t>2</w:t>
      </w:r>
      <w:r w:rsidRPr="00680913">
        <w:rPr>
          <w:rFonts w:ascii="Constantia" w:hAnsi="Constantia" w:cs="Times New Roman"/>
          <w:b/>
          <w:bCs/>
          <w:i/>
          <w:iCs/>
          <w:color w:val="212121"/>
          <w:sz w:val="40"/>
          <w:szCs w:val="40"/>
        </w:rPr>
        <w:t xml:space="preserve"> FSA Presidential Update</w:t>
      </w:r>
    </w:p>
    <w:p w14:paraId="0BD9C0BD" w14:textId="7ECA2E9D" w:rsidR="008C00A9" w:rsidRPr="00680913" w:rsidRDefault="008D3567" w:rsidP="008C00A9">
      <w:pPr>
        <w:shd w:val="clear" w:color="auto" w:fill="FFFFFF"/>
        <w:jc w:val="center"/>
        <w:rPr>
          <w:rFonts w:ascii="Calibri" w:hAnsi="Calibri" w:cs="Times New Roman"/>
          <w:color w:val="212121"/>
        </w:rPr>
      </w:pPr>
      <w:r w:rsidRPr="00680913">
        <w:rPr>
          <w:rFonts w:ascii="Constantia" w:hAnsi="Constantia" w:cs="Times New Roman"/>
          <w:b/>
          <w:bCs/>
          <w:color w:val="212121"/>
        </w:rPr>
        <w:t>Leo</w:t>
      </w:r>
      <w:r w:rsidR="00A533DB" w:rsidRPr="00680913">
        <w:rPr>
          <w:rFonts w:ascii="Constantia" w:hAnsi="Constantia" w:cs="Times New Roman"/>
          <w:b/>
          <w:bCs/>
          <w:color w:val="212121"/>
        </w:rPr>
        <w:t>poldo</w:t>
      </w:r>
      <w:r w:rsidRPr="00680913">
        <w:rPr>
          <w:rFonts w:ascii="Constantia" w:hAnsi="Constantia" w:cs="Times New Roman"/>
          <w:b/>
          <w:bCs/>
          <w:color w:val="212121"/>
        </w:rPr>
        <w:t xml:space="preserve"> Rodriguez</w:t>
      </w:r>
      <w:r w:rsidR="008C00A9" w:rsidRPr="00680913">
        <w:rPr>
          <w:rFonts w:ascii="Constantia" w:hAnsi="Constantia" w:cs="Times New Roman"/>
          <w:b/>
          <w:bCs/>
          <w:color w:val="212121"/>
        </w:rPr>
        <w:t>, MD</w:t>
      </w:r>
      <w:r w:rsidR="0095008A" w:rsidRPr="00680913">
        <w:rPr>
          <w:rFonts w:ascii="Constantia" w:hAnsi="Constantia" w:cs="Times New Roman"/>
          <w:b/>
          <w:bCs/>
          <w:color w:val="212121"/>
        </w:rPr>
        <w:t>, MBA</w:t>
      </w:r>
    </w:p>
    <w:p w14:paraId="75415B92" w14:textId="2633C36D" w:rsidR="00C13F3A" w:rsidRPr="008D3567" w:rsidRDefault="008C00A9" w:rsidP="008D3567">
      <w:pPr>
        <w:shd w:val="clear" w:color="auto" w:fill="FFFFFF"/>
        <w:jc w:val="center"/>
        <w:rPr>
          <w:rFonts w:ascii="Calibri" w:hAnsi="Calibri" w:cs="Times New Roman"/>
          <w:color w:val="212121"/>
        </w:rPr>
      </w:pPr>
      <w:r w:rsidRPr="005B7ADF">
        <w:rPr>
          <w:rFonts w:ascii="Constantia" w:hAnsi="Constantia" w:cs="Times New Roman"/>
          <w:color w:val="1F4E79"/>
        </w:rPr>
        <w:t>Anesthesiologist, FSA President</w:t>
      </w:r>
    </w:p>
    <w:sectPr w:rsidR="00C13F3A" w:rsidRPr="008D3567" w:rsidSect="005B7A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0A9"/>
    <w:rsid w:val="00192A6D"/>
    <w:rsid w:val="002A5992"/>
    <w:rsid w:val="005B7ADF"/>
    <w:rsid w:val="00607976"/>
    <w:rsid w:val="006214A2"/>
    <w:rsid w:val="00680913"/>
    <w:rsid w:val="008C00A9"/>
    <w:rsid w:val="008D3567"/>
    <w:rsid w:val="0092384F"/>
    <w:rsid w:val="0092746F"/>
    <w:rsid w:val="0095008A"/>
    <w:rsid w:val="00A533DB"/>
    <w:rsid w:val="00C13F3A"/>
    <w:rsid w:val="00D52ED0"/>
    <w:rsid w:val="00EE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0EFDC7"/>
  <w14:defaultImageDpi w14:val="300"/>
  <w15:docId w15:val="{A4C0525A-4D4D-4AEF-8992-E7A9FF31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Anesthesiology Consultants, P.L.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Strickler</dc:creator>
  <cp:keywords/>
  <dc:description/>
  <cp:lastModifiedBy>Kelly Dennis</cp:lastModifiedBy>
  <cp:revision>2</cp:revision>
  <dcterms:created xsi:type="dcterms:W3CDTF">2022-04-01T12:22:00Z</dcterms:created>
  <dcterms:modified xsi:type="dcterms:W3CDTF">2022-04-01T12:22:00Z</dcterms:modified>
</cp:coreProperties>
</file>